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C93" w:rsidRPr="00762C93" w:rsidRDefault="00762C93" w:rsidP="00762C93">
      <w:pPr>
        <w:spacing w:before="240" w:after="240" w:line="240" w:lineRule="auto"/>
        <w:outlineLvl w:val="2"/>
        <w:rPr>
          <w:rFonts w:ascii="Arial" w:eastAsia="Times New Roman" w:hAnsi="Arial" w:cs="Arial"/>
          <w:b/>
          <w:bCs/>
          <w:color w:val="000000"/>
          <w:sz w:val="24"/>
          <w:szCs w:val="21"/>
          <w:lang w:val="en-US" w:eastAsia="el-GR"/>
        </w:rPr>
      </w:pPr>
      <w:r w:rsidRPr="00762C93">
        <w:rPr>
          <w:rFonts w:ascii="Arial" w:eastAsia="Times New Roman" w:hAnsi="Arial" w:cs="Arial"/>
          <w:b/>
          <w:bCs/>
          <w:color w:val="000000"/>
          <w:sz w:val="24"/>
          <w:szCs w:val="21"/>
          <w:lang w:val="en-US" w:eastAsia="el-GR"/>
        </w:rPr>
        <w:t>Timisoara, Patra or Porto is the best financial place for a first appointed high school teacher to live ? (Project)</w:t>
      </w:r>
    </w:p>
    <w:p w:rsidR="00762C93" w:rsidRPr="00762C93" w:rsidRDefault="00762C93" w:rsidP="00762C93">
      <w:pPr>
        <w:spacing w:after="240" w:line="240" w:lineRule="auto"/>
        <w:rPr>
          <w:rFonts w:ascii="Arial" w:eastAsia="Times New Roman" w:hAnsi="Arial" w:cs="Arial"/>
          <w:color w:val="000000"/>
          <w:sz w:val="24"/>
          <w:szCs w:val="20"/>
          <w:lang w:val="en-US" w:eastAsia="el-GR"/>
        </w:rPr>
      </w:pPr>
      <w:r w:rsidRPr="00762C93">
        <w:rPr>
          <w:rFonts w:ascii="Arial" w:eastAsia="Times New Roman" w:hAnsi="Arial" w:cs="Arial"/>
          <w:color w:val="000000"/>
          <w:sz w:val="24"/>
          <w:szCs w:val="20"/>
          <w:lang w:val="en-US" w:eastAsia="el-GR"/>
        </w:rPr>
        <w:t>To facilitate your calculations make the following assumptions:</w:t>
      </w:r>
    </w:p>
    <w:p w:rsidR="00762C93" w:rsidRPr="00762C93" w:rsidRDefault="00762C93" w:rsidP="00762C93">
      <w:pPr>
        <w:spacing w:after="240" w:line="240" w:lineRule="auto"/>
        <w:ind w:left="450"/>
        <w:rPr>
          <w:rFonts w:ascii="Arial" w:eastAsia="Times New Roman" w:hAnsi="Arial" w:cs="Arial"/>
          <w:color w:val="000000"/>
          <w:sz w:val="24"/>
          <w:szCs w:val="20"/>
          <w:lang w:val="en-US" w:eastAsia="el-GR"/>
        </w:rPr>
      </w:pPr>
      <w:r w:rsidRPr="00762C93">
        <w:rPr>
          <w:rFonts w:ascii="Arial" w:eastAsia="Times New Roman" w:hAnsi="Arial" w:cs="Arial"/>
          <w:color w:val="000000"/>
          <w:sz w:val="24"/>
          <w:szCs w:val="20"/>
          <w:lang w:val="en-US" w:eastAsia="el-GR"/>
        </w:rPr>
        <w:t>1)    Suppose that 35% of base salary is the spendable income,ie the assumed amount that the employee ordinarily spends on food, clothing, recreation and transportation etc.</w:t>
      </w:r>
    </w:p>
    <w:p w:rsidR="00762C93" w:rsidRPr="00762C93" w:rsidRDefault="00762C93" w:rsidP="00762C93">
      <w:pPr>
        <w:spacing w:after="240" w:line="240" w:lineRule="auto"/>
        <w:ind w:left="450"/>
        <w:rPr>
          <w:rFonts w:ascii="Arial" w:eastAsia="Times New Roman" w:hAnsi="Arial" w:cs="Arial"/>
          <w:color w:val="000000"/>
          <w:sz w:val="24"/>
          <w:szCs w:val="20"/>
          <w:lang w:val="en-US" w:eastAsia="el-GR"/>
        </w:rPr>
      </w:pPr>
      <w:r w:rsidRPr="00762C93">
        <w:rPr>
          <w:rFonts w:ascii="Arial" w:eastAsia="Times New Roman" w:hAnsi="Arial" w:cs="Arial"/>
          <w:color w:val="000000"/>
          <w:sz w:val="24"/>
          <w:szCs w:val="20"/>
          <w:lang w:val="en-US" w:eastAsia="el-GR"/>
        </w:rPr>
        <w:t>2)    There is no family.</w:t>
      </w:r>
    </w:p>
    <w:p w:rsidR="00762C93" w:rsidRPr="00762C93" w:rsidRDefault="00762C93" w:rsidP="00762C93">
      <w:pPr>
        <w:spacing w:after="240" w:line="240" w:lineRule="auto"/>
        <w:ind w:left="450"/>
        <w:rPr>
          <w:rFonts w:ascii="Arial" w:eastAsia="Times New Roman" w:hAnsi="Arial" w:cs="Arial"/>
          <w:color w:val="000000"/>
          <w:sz w:val="24"/>
          <w:szCs w:val="20"/>
          <w:lang w:val="en-US" w:eastAsia="el-GR"/>
        </w:rPr>
      </w:pPr>
      <w:r w:rsidRPr="00762C93">
        <w:rPr>
          <w:rFonts w:ascii="Arial" w:eastAsia="Times New Roman" w:hAnsi="Arial" w:cs="Arial"/>
          <w:color w:val="000000"/>
          <w:sz w:val="24"/>
          <w:szCs w:val="20"/>
          <w:lang w:val="en-US" w:eastAsia="el-GR"/>
        </w:rPr>
        <w:t>3)    The housing cost consists of renting an one person apartment.</w:t>
      </w:r>
    </w:p>
    <w:p w:rsidR="004D60D3" w:rsidRPr="00762C93" w:rsidRDefault="004D60D3">
      <w:pPr>
        <w:rPr>
          <w:sz w:val="28"/>
          <w:lang w:val="en-US"/>
        </w:rPr>
      </w:pPr>
    </w:p>
    <w:p w:rsidR="00762C93" w:rsidRPr="00762C93" w:rsidRDefault="00762C93" w:rsidP="00762C93">
      <w:pPr>
        <w:pStyle w:val="Web"/>
        <w:shd w:val="clear" w:color="auto" w:fill="FAFAFA"/>
        <w:spacing w:before="0" w:beforeAutospacing="0" w:after="240" w:afterAutospacing="0"/>
        <w:rPr>
          <w:rFonts w:ascii="Arial" w:hAnsi="Arial" w:cs="Arial"/>
          <w:color w:val="000000"/>
          <w:sz w:val="16"/>
          <w:szCs w:val="12"/>
          <w:lang w:val="en-US"/>
        </w:rPr>
      </w:pPr>
      <w:r w:rsidRPr="00762C93">
        <w:rPr>
          <w:rFonts w:ascii="Arial" w:hAnsi="Arial" w:cs="Arial"/>
          <w:color w:val="000000"/>
          <w:sz w:val="32"/>
          <w:lang w:val="en-US"/>
        </w:rPr>
        <w:t>Your</w:t>
      </w:r>
      <w:r w:rsidRPr="00762C93">
        <w:rPr>
          <w:rStyle w:val="apple-converted-space"/>
          <w:rFonts w:ascii="Arial" w:hAnsi="Arial" w:cs="Arial"/>
          <w:color w:val="000000"/>
          <w:sz w:val="32"/>
          <w:lang w:val="en-US"/>
        </w:rPr>
        <w:t> </w:t>
      </w:r>
      <w:r w:rsidRPr="00762C93">
        <w:rPr>
          <w:rStyle w:val="nolink"/>
          <w:rFonts w:ascii="Arial" w:hAnsi="Arial" w:cs="Arial"/>
          <w:color w:val="000000"/>
          <w:sz w:val="32"/>
          <w:lang w:val="en-US"/>
        </w:rPr>
        <w:t>assignment</w:t>
      </w:r>
      <w:r w:rsidRPr="00762C93">
        <w:rPr>
          <w:rStyle w:val="apple-converted-space"/>
          <w:rFonts w:ascii="Arial" w:hAnsi="Arial" w:cs="Arial"/>
          <w:color w:val="000000"/>
          <w:sz w:val="32"/>
          <w:lang w:val="en-US"/>
        </w:rPr>
        <w:t> </w:t>
      </w:r>
      <w:r w:rsidRPr="00762C93">
        <w:rPr>
          <w:rFonts w:ascii="Arial" w:hAnsi="Arial" w:cs="Arial"/>
          <w:color w:val="000000"/>
          <w:sz w:val="32"/>
          <w:lang w:val="en-US"/>
        </w:rPr>
        <w:t>is to submit the necessary files (</w:t>
      </w:r>
      <w:r w:rsidRPr="00762C93">
        <w:rPr>
          <w:rStyle w:val="a3"/>
          <w:rFonts w:ascii="Arial" w:hAnsi="Arial" w:cs="Arial"/>
          <w:color w:val="000000"/>
          <w:sz w:val="32"/>
          <w:lang w:val="en-US"/>
        </w:rPr>
        <w:t>maximum 3 files</w:t>
      </w:r>
      <w:r w:rsidRPr="00762C93">
        <w:rPr>
          <w:rFonts w:ascii="Arial" w:hAnsi="Arial" w:cs="Arial"/>
          <w:color w:val="000000"/>
          <w:sz w:val="32"/>
          <w:lang w:val="en-US"/>
        </w:rPr>
        <w:t>) detailing your</w:t>
      </w:r>
      <w:r w:rsidRPr="00762C93">
        <w:rPr>
          <w:rStyle w:val="apple-converted-space"/>
          <w:rFonts w:ascii="Arial" w:hAnsi="Arial" w:cs="Arial"/>
          <w:color w:val="000000"/>
          <w:sz w:val="32"/>
          <w:lang w:val="en-US"/>
        </w:rPr>
        <w:t> </w:t>
      </w:r>
      <w:r w:rsidRPr="00762C93">
        <w:rPr>
          <w:rStyle w:val="a3"/>
          <w:rFonts w:ascii="Arial" w:hAnsi="Arial" w:cs="Arial"/>
          <w:color w:val="000000"/>
          <w:sz w:val="32"/>
          <w:lang w:val="en-US"/>
        </w:rPr>
        <w:t>conclusions</w:t>
      </w:r>
      <w:r w:rsidRPr="00762C93">
        <w:rPr>
          <w:rStyle w:val="apple-converted-space"/>
          <w:rFonts w:ascii="Arial" w:hAnsi="Arial" w:cs="Arial"/>
          <w:color w:val="000000"/>
          <w:sz w:val="32"/>
          <w:lang w:val="en-US"/>
        </w:rPr>
        <w:t> </w:t>
      </w:r>
      <w:r w:rsidRPr="00762C93">
        <w:rPr>
          <w:rFonts w:ascii="Arial" w:hAnsi="Arial" w:cs="Arial"/>
          <w:color w:val="000000"/>
          <w:sz w:val="32"/>
          <w:lang w:val="en-US"/>
        </w:rPr>
        <w:t>about where is better financially for a first appointed high school teacher with no family to live, Timisoara/Romany, Patras/Greece or Porto/Portugal? </w:t>
      </w:r>
    </w:p>
    <w:p w:rsidR="00762C93" w:rsidRPr="00762C93" w:rsidRDefault="00762C93" w:rsidP="00762C93">
      <w:pPr>
        <w:pStyle w:val="Web"/>
        <w:shd w:val="clear" w:color="auto" w:fill="FAFAFA"/>
        <w:spacing w:before="0" w:beforeAutospacing="0" w:after="240" w:afterAutospacing="0"/>
        <w:rPr>
          <w:rFonts w:ascii="Arial" w:hAnsi="Arial" w:cs="Arial"/>
          <w:color w:val="000000"/>
          <w:sz w:val="16"/>
          <w:szCs w:val="12"/>
          <w:lang w:val="en-US"/>
        </w:rPr>
      </w:pPr>
      <w:r w:rsidRPr="00762C93">
        <w:rPr>
          <w:rFonts w:ascii="Arial" w:hAnsi="Arial" w:cs="Arial"/>
          <w:color w:val="000000"/>
          <w:sz w:val="32"/>
          <w:lang w:val="en-US"/>
        </w:rPr>
        <w:t>Read the file below this</w:t>
      </w:r>
      <w:r w:rsidRPr="00762C93">
        <w:rPr>
          <w:rStyle w:val="apple-converted-space"/>
          <w:rFonts w:ascii="Arial" w:hAnsi="Arial" w:cs="Arial"/>
          <w:color w:val="000000"/>
          <w:sz w:val="32"/>
          <w:lang w:val="en-US"/>
        </w:rPr>
        <w:t> </w:t>
      </w:r>
      <w:r w:rsidRPr="00762C93">
        <w:rPr>
          <w:rStyle w:val="nolink"/>
          <w:rFonts w:ascii="Arial" w:hAnsi="Arial" w:cs="Arial"/>
          <w:color w:val="000000"/>
          <w:sz w:val="32"/>
          <w:lang w:val="en-US"/>
        </w:rPr>
        <w:t>assignment</w:t>
      </w:r>
      <w:r w:rsidRPr="00762C93">
        <w:rPr>
          <w:rStyle w:val="apple-converted-space"/>
          <w:rFonts w:ascii="Arial" w:hAnsi="Arial" w:cs="Arial"/>
          <w:color w:val="000000"/>
          <w:sz w:val="32"/>
          <w:lang w:val="en-US"/>
        </w:rPr>
        <w:t> </w:t>
      </w:r>
      <w:r w:rsidRPr="00762C93">
        <w:rPr>
          <w:rFonts w:ascii="Arial" w:hAnsi="Arial" w:cs="Arial"/>
          <w:color w:val="000000"/>
          <w:sz w:val="32"/>
          <w:lang w:val="en-US"/>
        </w:rPr>
        <w:t>to help yourself.</w:t>
      </w:r>
    </w:p>
    <w:p w:rsidR="00762C93" w:rsidRPr="00762C93" w:rsidRDefault="00762C93" w:rsidP="00762C93">
      <w:pPr>
        <w:pStyle w:val="Web"/>
        <w:shd w:val="clear" w:color="auto" w:fill="FAFAFA"/>
        <w:spacing w:before="0" w:beforeAutospacing="0" w:after="240" w:afterAutospacing="0"/>
        <w:rPr>
          <w:rFonts w:ascii="Arial" w:hAnsi="Arial" w:cs="Arial"/>
          <w:color w:val="000000"/>
          <w:sz w:val="16"/>
          <w:szCs w:val="12"/>
          <w:lang w:val="en-US"/>
        </w:rPr>
      </w:pPr>
      <w:r w:rsidRPr="00762C93">
        <w:rPr>
          <w:rFonts w:ascii="Arial" w:hAnsi="Arial" w:cs="Arial"/>
          <w:color w:val="000000"/>
          <w:sz w:val="16"/>
          <w:szCs w:val="12"/>
          <w:lang w:val="en-US"/>
        </w:rPr>
        <w:t>Good luck !!!</w:t>
      </w:r>
    </w:p>
    <w:p w:rsidR="00762C93" w:rsidRPr="00762C93" w:rsidRDefault="00762C93" w:rsidP="00762C93">
      <w:pPr>
        <w:jc w:val="both"/>
        <w:rPr>
          <w:sz w:val="28"/>
          <w:lang w:val="en-US"/>
        </w:rPr>
      </w:pPr>
      <w:r w:rsidRPr="00762C93">
        <w:rPr>
          <w:sz w:val="28"/>
          <w:lang w:val="en-US"/>
        </w:rPr>
        <w:t xml:space="preserve">To help yourself, you can read the following information. </w:t>
      </w:r>
    </w:p>
    <w:p w:rsidR="00762C93" w:rsidRPr="00762C93" w:rsidRDefault="00762C93" w:rsidP="00762C93">
      <w:pPr>
        <w:jc w:val="both"/>
        <w:rPr>
          <w:sz w:val="28"/>
          <w:lang w:val="en-US"/>
        </w:rPr>
      </w:pPr>
      <w:r w:rsidRPr="00762C93">
        <w:rPr>
          <w:sz w:val="28"/>
          <w:lang w:val="en-US"/>
        </w:rPr>
        <w:t xml:space="preserve">(Source: </w:t>
      </w:r>
      <w:hyperlink r:id="rId7" w:history="1">
        <w:r w:rsidRPr="00762C93">
          <w:rPr>
            <w:rStyle w:val="-"/>
            <w:sz w:val="28"/>
            <w:lang w:val="en-US"/>
          </w:rPr>
          <w:t>https://www.worldwidecostofliving.com/asp/wcol_HelpIndexCalc.asp</w:t>
        </w:r>
      </w:hyperlink>
      <w:r w:rsidRPr="00762C93">
        <w:rPr>
          <w:sz w:val="28"/>
          <w:lang w:val="en-US"/>
        </w:rPr>
        <w:t>)</w:t>
      </w:r>
    </w:p>
    <w:tbl>
      <w:tblPr>
        <w:tblW w:w="5000" w:type="pct"/>
        <w:jc w:val="center"/>
        <w:tblCellSpacing w:w="0" w:type="dxa"/>
        <w:tblCellMar>
          <w:top w:w="60" w:type="dxa"/>
          <w:left w:w="60" w:type="dxa"/>
          <w:bottom w:w="60" w:type="dxa"/>
          <w:right w:w="60" w:type="dxa"/>
        </w:tblCellMar>
        <w:tblLook w:val="04A0"/>
      </w:tblPr>
      <w:tblGrid>
        <w:gridCol w:w="9146"/>
      </w:tblGrid>
      <w:tr w:rsidR="00762C93" w:rsidRPr="00762C93" w:rsidTr="006E17C6">
        <w:trPr>
          <w:tblCellSpacing w:w="0" w:type="dxa"/>
          <w:jc w:val="center"/>
        </w:trPr>
        <w:tc>
          <w:tcPr>
            <w:tcW w:w="0" w:type="auto"/>
            <w:vAlign w:val="center"/>
            <w:hideMark/>
          </w:tcPr>
          <w:p w:rsidR="00762C93" w:rsidRPr="00762C93" w:rsidRDefault="00762C93" w:rsidP="006E17C6">
            <w:pPr>
              <w:spacing w:before="100" w:beforeAutospacing="1" w:after="100" w:afterAutospacing="1" w:line="240" w:lineRule="auto"/>
              <w:jc w:val="both"/>
              <w:rPr>
                <w:rFonts w:ascii="Verdana" w:eastAsia="Times New Roman" w:hAnsi="Verdana" w:cs="Times New Roman"/>
                <w:sz w:val="24"/>
                <w:szCs w:val="20"/>
                <w:lang w:val="en-US" w:eastAsia="el-GR"/>
              </w:rPr>
            </w:pPr>
            <w:bookmarkStart w:id="0" w:name="392"/>
            <w:bookmarkStart w:id="1" w:name="#whatisthecolindex"/>
            <w:bookmarkEnd w:id="0"/>
            <w:bookmarkEnd w:id="1"/>
            <w:r w:rsidRPr="00762C93">
              <w:rPr>
                <w:rFonts w:ascii="Verdana" w:eastAsia="Times New Roman" w:hAnsi="Verdana" w:cs="Times New Roman"/>
                <w:b/>
                <w:bCs/>
                <w:sz w:val="24"/>
                <w:szCs w:val="20"/>
                <w:lang w:val="en-US" w:eastAsia="el-GR"/>
              </w:rPr>
              <w:t>What is the cost of living index?</w:t>
            </w:r>
          </w:p>
          <w:p w:rsidR="00762C93" w:rsidRPr="00762C93" w:rsidRDefault="00762C93" w:rsidP="006E17C6">
            <w:pPr>
              <w:spacing w:before="100" w:beforeAutospacing="1" w:after="100" w:afterAutospacing="1"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The cost-of-living index shows the difference in living costs between cities. The cost of living in the base city is always expressed as 100. The cost of living in the destination is then indexed against this number. So to take a simple example, if Athens is the base (100) and Rome is the destination, and the Rome index is 120, then Rome is 20% more expensive than Athens. Similarly, if Bucharest is the base and Porto is the destination and the Bucharest index is 80, than the cost of living in Bucharest is 80% of Porto's.</w:t>
            </w:r>
            <w:bookmarkStart w:id="2" w:name="whatsthebestwaytoconstructanindex"/>
            <w:bookmarkEnd w:id="2"/>
          </w:p>
          <w:p w:rsidR="00762C93" w:rsidRPr="00762C93" w:rsidRDefault="00762C93" w:rsidP="006E17C6">
            <w:pPr>
              <w:spacing w:before="100" w:beforeAutospacing="1" w:after="100" w:afterAutospacing="1"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b/>
                <w:bCs/>
                <w:sz w:val="24"/>
                <w:szCs w:val="20"/>
                <w:lang w:val="en-US" w:eastAsia="el-GR"/>
              </w:rPr>
              <w:t>What's the methodology behind the index?</w:t>
            </w:r>
          </w:p>
          <w:p w:rsidR="00762C93" w:rsidRPr="00762C93" w:rsidRDefault="00762C93" w:rsidP="006E17C6">
            <w:pPr>
              <w:spacing w:before="100" w:beforeAutospacing="1" w:after="100" w:afterAutospacing="1"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The cost-of-living index expresses the difference in the cost of living between any two cities in the survey. How is this index calculated?</w:t>
            </w:r>
          </w:p>
          <w:p w:rsidR="00762C93" w:rsidRPr="00762C93" w:rsidRDefault="00762C93" w:rsidP="006E17C6">
            <w:pPr>
              <w:spacing w:before="100" w:beforeAutospacing="1" w:after="100" w:afterAutospacing="1"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 xml:space="preserve">Using exactly the same price data, but different methods of calculation, a number of different people could come up with a number of markedly </w:t>
            </w:r>
            <w:r w:rsidRPr="00762C93">
              <w:rPr>
                <w:rFonts w:ascii="Verdana" w:eastAsia="Times New Roman" w:hAnsi="Verdana" w:cs="Times New Roman"/>
                <w:sz w:val="24"/>
                <w:szCs w:val="20"/>
                <w:lang w:val="en-US" w:eastAsia="el-GR"/>
              </w:rPr>
              <w:lastRenderedPageBreak/>
              <w:t>different indices. The challenge, therefore, when seeking to construct an index is to know which method is best for the problem at hand and to represent equitably (in one figure) the general trend of price differences in separate locations. To illustrate this point, let us take a simple price survey comparing two fictional cities, "City-A" and "City-B."</w:t>
            </w:r>
          </w:p>
          <w:tbl>
            <w:tblPr>
              <w:tblW w:w="0" w:type="auto"/>
              <w:tblCellSpacing w:w="15" w:type="dxa"/>
              <w:tblBorders>
                <w:top w:val="outset" w:sz="18" w:space="0" w:color="auto"/>
                <w:left w:val="outset" w:sz="18" w:space="0" w:color="auto"/>
                <w:bottom w:val="outset" w:sz="18" w:space="0" w:color="auto"/>
                <w:right w:val="outset" w:sz="18" w:space="0" w:color="auto"/>
              </w:tblBorders>
              <w:tblCellMar>
                <w:top w:w="15" w:type="dxa"/>
                <w:left w:w="15" w:type="dxa"/>
                <w:bottom w:w="15" w:type="dxa"/>
                <w:right w:w="15" w:type="dxa"/>
              </w:tblCellMar>
              <w:tblLook w:val="04A0"/>
            </w:tblPr>
            <w:tblGrid>
              <w:gridCol w:w="1889"/>
              <w:gridCol w:w="834"/>
              <w:gridCol w:w="849"/>
            </w:tblGrid>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City-A</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City-B</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Bread (1kg)</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1.00</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1.25</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Potatoes (1kg)</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3.00</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2.00</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Coffee (1kg)</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2.50</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1.75</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Sugar (1kg)</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1.00</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1.75</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b/>
                      <w:bCs/>
                      <w:sz w:val="24"/>
                      <w:szCs w:val="20"/>
                      <w:lang w:val="en-US" w:eastAsia="el-GR"/>
                    </w:rPr>
                    <w:t>TOTAL</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b/>
                      <w:bCs/>
                      <w:sz w:val="24"/>
                      <w:szCs w:val="20"/>
                      <w:lang w:val="en-US" w:eastAsia="el-GR"/>
                    </w:rPr>
                    <w:t>7.50</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b/>
                      <w:bCs/>
                      <w:sz w:val="24"/>
                      <w:szCs w:val="20"/>
                      <w:lang w:val="en-US" w:eastAsia="el-GR"/>
                    </w:rPr>
                    <w:t>6.75</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p>
              </w:tc>
              <w:tc>
                <w:tcPr>
                  <w:tcW w:w="0" w:type="auto"/>
                  <w:vAlign w:val="center"/>
                  <w:hideMark/>
                </w:tcPr>
                <w:p w:rsidR="00762C93" w:rsidRPr="00762C93" w:rsidRDefault="00762C93" w:rsidP="006E17C6">
                  <w:pPr>
                    <w:spacing w:after="0" w:line="240" w:lineRule="auto"/>
                    <w:jc w:val="both"/>
                    <w:rPr>
                      <w:rFonts w:ascii="Times New Roman" w:eastAsia="Times New Roman" w:hAnsi="Times New Roman" w:cs="Times New Roman"/>
                      <w:sz w:val="24"/>
                      <w:szCs w:val="20"/>
                      <w:lang w:val="en-US" w:eastAsia="el-GR"/>
                    </w:rPr>
                  </w:pPr>
                </w:p>
              </w:tc>
              <w:tc>
                <w:tcPr>
                  <w:tcW w:w="0" w:type="auto"/>
                  <w:vAlign w:val="center"/>
                  <w:hideMark/>
                </w:tcPr>
                <w:p w:rsidR="00762C93" w:rsidRPr="00762C93" w:rsidRDefault="00762C93" w:rsidP="006E17C6">
                  <w:pPr>
                    <w:spacing w:after="0" w:line="240" w:lineRule="auto"/>
                    <w:jc w:val="both"/>
                    <w:rPr>
                      <w:rFonts w:ascii="Times New Roman" w:eastAsia="Times New Roman" w:hAnsi="Times New Roman" w:cs="Times New Roman"/>
                      <w:sz w:val="24"/>
                      <w:szCs w:val="20"/>
                      <w:lang w:val="en-US" w:eastAsia="el-GR"/>
                    </w:rPr>
                  </w:pPr>
                </w:p>
              </w:tc>
            </w:tr>
          </w:tbl>
          <w:p w:rsidR="00762C93" w:rsidRPr="00762C93" w:rsidRDefault="00762C93" w:rsidP="006E17C6">
            <w:pPr>
              <w:spacing w:before="100" w:beforeAutospacing="1" w:after="100" w:afterAutospacing="1"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Assuming we give equal weight to each of the products, which of the two towns deserves the higher cost of living index number? The answer is: it all depends on how the calculation is made.</w:t>
            </w:r>
          </w:p>
          <w:p w:rsidR="00762C93" w:rsidRPr="00762C93" w:rsidRDefault="00762C93" w:rsidP="006E17C6">
            <w:pPr>
              <w:spacing w:before="100" w:beforeAutospacing="1" w:after="100" w:afterAutospacing="1"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 City-A is more expensive if we simply add up the prices of the four items in the index and compare the two cities on that basis.</w:t>
            </w:r>
          </w:p>
          <w:p w:rsidR="00762C93" w:rsidRPr="00762C93" w:rsidRDefault="00762C93" w:rsidP="006E17C6">
            <w:pPr>
              <w:spacing w:before="100" w:beforeAutospacing="1" w:after="100" w:afterAutospacing="1"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2) City-B, however, is more expensive when we use City-A as a base city and calculate an index based on the average of relative prices in the two cities:</w:t>
            </w:r>
          </w:p>
          <w:tbl>
            <w:tblPr>
              <w:tblW w:w="0" w:type="auto"/>
              <w:tblCellSpacing w:w="15" w:type="dxa"/>
              <w:tblBorders>
                <w:top w:val="outset" w:sz="18" w:space="0" w:color="auto"/>
                <w:left w:val="outset" w:sz="18" w:space="0" w:color="auto"/>
                <w:bottom w:val="outset" w:sz="18" w:space="0" w:color="auto"/>
                <w:right w:val="outset" w:sz="18" w:space="0" w:color="auto"/>
              </w:tblBorders>
              <w:tblCellMar>
                <w:top w:w="15" w:type="dxa"/>
                <w:left w:w="15" w:type="dxa"/>
                <w:bottom w:w="15" w:type="dxa"/>
                <w:right w:w="15" w:type="dxa"/>
              </w:tblCellMar>
              <w:tblLook w:val="04A0"/>
            </w:tblPr>
            <w:tblGrid>
              <w:gridCol w:w="1143"/>
              <w:gridCol w:w="834"/>
              <w:gridCol w:w="849"/>
            </w:tblGrid>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City-A</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City-B</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Bread</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100</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125</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Potatoes</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100</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67</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Coffee</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100</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70</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Sugar</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100</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175</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b/>
                      <w:bCs/>
                      <w:sz w:val="24"/>
                      <w:szCs w:val="20"/>
                      <w:lang w:val="en-US" w:eastAsia="el-GR"/>
                    </w:rPr>
                    <w:t>Index</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b/>
                      <w:bCs/>
                      <w:sz w:val="24"/>
                      <w:szCs w:val="20"/>
                      <w:lang w:val="en-US" w:eastAsia="el-GR"/>
                    </w:rPr>
                    <w:t>100</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b/>
                      <w:bCs/>
                      <w:sz w:val="24"/>
                      <w:szCs w:val="20"/>
                      <w:lang w:val="en-US" w:eastAsia="el-GR"/>
                    </w:rPr>
                    <w:t>109</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p>
              </w:tc>
              <w:tc>
                <w:tcPr>
                  <w:tcW w:w="0" w:type="auto"/>
                  <w:vAlign w:val="center"/>
                  <w:hideMark/>
                </w:tcPr>
                <w:p w:rsidR="00762C93" w:rsidRPr="00762C93" w:rsidRDefault="00762C93" w:rsidP="006E17C6">
                  <w:pPr>
                    <w:spacing w:after="0" w:line="240" w:lineRule="auto"/>
                    <w:jc w:val="both"/>
                    <w:rPr>
                      <w:rFonts w:ascii="Times New Roman" w:eastAsia="Times New Roman" w:hAnsi="Times New Roman" w:cs="Times New Roman"/>
                      <w:sz w:val="24"/>
                      <w:szCs w:val="20"/>
                      <w:lang w:val="en-US" w:eastAsia="el-GR"/>
                    </w:rPr>
                  </w:pPr>
                </w:p>
              </w:tc>
              <w:tc>
                <w:tcPr>
                  <w:tcW w:w="0" w:type="auto"/>
                  <w:vAlign w:val="center"/>
                  <w:hideMark/>
                </w:tcPr>
                <w:p w:rsidR="00762C93" w:rsidRPr="00762C93" w:rsidRDefault="00762C93" w:rsidP="006E17C6">
                  <w:pPr>
                    <w:spacing w:after="0" w:line="240" w:lineRule="auto"/>
                    <w:jc w:val="both"/>
                    <w:rPr>
                      <w:rFonts w:ascii="Times New Roman" w:eastAsia="Times New Roman" w:hAnsi="Times New Roman" w:cs="Times New Roman"/>
                      <w:sz w:val="24"/>
                      <w:szCs w:val="20"/>
                      <w:lang w:val="en-US" w:eastAsia="el-GR"/>
                    </w:rPr>
                  </w:pPr>
                </w:p>
              </w:tc>
            </w:tr>
          </w:tbl>
          <w:p w:rsidR="00762C93" w:rsidRPr="00762C93" w:rsidRDefault="00762C93" w:rsidP="006E17C6">
            <w:pPr>
              <w:spacing w:before="100" w:beforeAutospacing="1" w:after="100" w:afterAutospacing="1"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However, if the same calculation is done with City-B serving as a base city, City-A becomes the more expensive city:</w:t>
            </w:r>
          </w:p>
          <w:tbl>
            <w:tblPr>
              <w:tblW w:w="0" w:type="auto"/>
              <w:tblCellSpacing w:w="15" w:type="dxa"/>
              <w:tblBorders>
                <w:top w:val="outset" w:sz="18" w:space="0" w:color="auto"/>
                <w:left w:val="outset" w:sz="18" w:space="0" w:color="auto"/>
                <w:bottom w:val="outset" w:sz="18" w:space="0" w:color="auto"/>
                <w:right w:val="outset" w:sz="18" w:space="0" w:color="auto"/>
              </w:tblBorders>
              <w:tblCellMar>
                <w:top w:w="15" w:type="dxa"/>
                <w:left w:w="15" w:type="dxa"/>
                <w:bottom w:w="15" w:type="dxa"/>
                <w:right w:w="15" w:type="dxa"/>
              </w:tblCellMar>
              <w:tblLook w:val="04A0"/>
            </w:tblPr>
            <w:tblGrid>
              <w:gridCol w:w="1143"/>
              <w:gridCol w:w="834"/>
              <w:gridCol w:w="1045"/>
            </w:tblGrid>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City-B</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City-A</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Bread</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100</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80</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Potatoes</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100</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150</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Coffee</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100</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143</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Sugar</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100</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57</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b/>
                      <w:bCs/>
                      <w:sz w:val="24"/>
                      <w:szCs w:val="20"/>
                      <w:lang w:val="en-US" w:eastAsia="el-GR"/>
                    </w:rPr>
                    <w:t>Index</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b/>
                      <w:bCs/>
                      <w:sz w:val="24"/>
                      <w:szCs w:val="20"/>
                      <w:lang w:val="en-US" w:eastAsia="el-GR"/>
                    </w:rPr>
                    <w:t>100</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b/>
                      <w:bCs/>
                      <w:sz w:val="24"/>
                      <w:szCs w:val="20"/>
                      <w:lang w:val="en-US" w:eastAsia="el-GR"/>
                    </w:rPr>
                    <w:t>107.50</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p>
              </w:tc>
              <w:tc>
                <w:tcPr>
                  <w:tcW w:w="0" w:type="auto"/>
                  <w:vAlign w:val="center"/>
                  <w:hideMark/>
                </w:tcPr>
                <w:p w:rsidR="00762C93" w:rsidRPr="00762C93" w:rsidRDefault="00762C93" w:rsidP="006E17C6">
                  <w:pPr>
                    <w:spacing w:after="0" w:line="240" w:lineRule="auto"/>
                    <w:jc w:val="both"/>
                    <w:rPr>
                      <w:rFonts w:ascii="Times New Roman" w:eastAsia="Times New Roman" w:hAnsi="Times New Roman" w:cs="Times New Roman"/>
                      <w:sz w:val="24"/>
                      <w:szCs w:val="20"/>
                      <w:lang w:val="en-US" w:eastAsia="el-GR"/>
                    </w:rPr>
                  </w:pPr>
                </w:p>
              </w:tc>
              <w:tc>
                <w:tcPr>
                  <w:tcW w:w="0" w:type="auto"/>
                  <w:vAlign w:val="center"/>
                  <w:hideMark/>
                </w:tcPr>
                <w:p w:rsidR="00762C93" w:rsidRPr="00762C93" w:rsidRDefault="00762C93" w:rsidP="006E17C6">
                  <w:pPr>
                    <w:spacing w:after="0" w:line="240" w:lineRule="auto"/>
                    <w:jc w:val="both"/>
                    <w:rPr>
                      <w:rFonts w:ascii="Times New Roman" w:eastAsia="Times New Roman" w:hAnsi="Times New Roman" w:cs="Times New Roman"/>
                      <w:sz w:val="24"/>
                      <w:szCs w:val="20"/>
                      <w:lang w:val="en-US" w:eastAsia="el-GR"/>
                    </w:rPr>
                  </w:pPr>
                </w:p>
              </w:tc>
            </w:tr>
          </w:tbl>
          <w:p w:rsidR="00762C93" w:rsidRPr="00762C93" w:rsidRDefault="00762C93" w:rsidP="006E17C6">
            <w:pPr>
              <w:spacing w:before="100" w:beforeAutospacing="1" w:after="100" w:afterAutospacing="1"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Thus with the standard price-relatives calculation we can end up in the paradoxical situation where each city is more expensive than the other.</w:t>
            </w:r>
          </w:p>
          <w:p w:rsidR="00762C93" w:rsidRPr="00762C93" w:rsidRDefault="00762C93" w:rsidP="006E17C6">
            <w:pPr>
              <w:spacing w:before="100" w:beforeAutospacing="1" w:after="100" w:afterAutospacing="1"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 xml:space="preserve">3) Using a different method, both City-A and City-B would have the same index number, i.e. 100, and neither would be considered more expensive than the other. Such a calculation would be made according to a well-established statistical formula that takes prices in both cities, makes an average of them, and uses this average as the basis for the index comparison. This formula, adopted here, has some distinct advantages over the standard price-relatives calculation described in Step 2 above. With this formula, for example, the paradoxical situation of the two cities being more expensive than each other cannot arise: if City-A = 100 and City-B = 110, then this relationship is maintained, even if City-B is used as a base (when City-B = 100 then City-A = 91). In other words, the indices are reversible. In addition, the indices are nearly circular. This means that the relationship between any three cities is maintained regardless of which of the cities is used as a base with which to compare the other two. </w:t>
            </w:r>
          </w:p>
          <w:p w:rsidR="00762C93" w:rsidRPr="00762C93" w:rsidRDefault="00762C93" w:rsidP="006E17C6">
            <w:pPr>
              <w:spacing w:before="100" w:beforeAutospacing="1" w:after="100" w:afterAutospacing="1"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b/>
                <w:bCs/>
                <w:sz w:val="24"/>
                <w:szCs w:val="20"/>
                <w:lang w:val="en-US" w:eastAsia="el-GR"/>
              </w:rPr>
              <w:t>The index formula.</w:t>
            </w:r>
            <w:r w:rsidRPr="00762C93">
              <w:rPr>
                <w:rFonts w:ascii="Verdana" w:eastAsia="Times New Roman" w:hAnsi="Verdana" w:cs="Times New Roman"/>
                <w:b/>
                <w:bCs/>
                <w:sz w:val="24"/>
                <w:lang w:val="en-US" w:eastAsia="el-GR"/>
              </w:rPr>
              <w:t> </w:t>
            </w:r>
            <w:r w:rsidRPr="00762C93">
              <w:rPr>
                <w:rFonts w:ascii="Verdana" w:eastAsia="Times New Roman" w:hAnsi="Verdana" w:cs="Times New Roman"/>
                <w:sz w:val="24"/>
                <w:szCs w:val="20"/>
                <w:lang w:val="en-US" w:eastAsia="el-GR"/>
              </w:rPr>
              <w:t>The index is based on the arithmetic mean of price levels in the two selected cities. In order to calculate the index for the two hypothetical cities examined on the previous page, we must first calculate the average price of each item:</w:t>
            </w:r>
          </w:p>
          <w:tbl>
            <w:tblPr>
              <w:tblW w:w="0" w:type="auto"/>
              <w:tblCellSpacing w:w="15" w:type="dxa"/>
              <w:tblBorders>
                <w:top w:val="outset" w:sz="18" w:space="0" w:color="auto"/>
                <w:left w:val="outset" w:sz="18" w:space="0" w:color="auto"/>
                <w:bottom w:val="outset" w:sz="18" w:space="0" w:color="auto"/>
                <w:right w:val="outset" w:sz="18" w:space="0" w:color="auto"/>
              </w:tblBorders>
              <w:tblCellMar>
                <w:top w:w="15" w:type="dxa"/>
                <w:left w:w="15" w:type="dxa"/>
                <w:bottom w:w="15" w:type="dxa"/>
                <w:right w:w="15" w:type="dxa"/>
              </w:tblCellMar>
              <w:tblLook w:val="04A0"/>
            </w:tblPr>
            <w:tblGrid>
              <w:gridCol w:w="1143"/>
              <w:gridCol w:w="834"/>
              <w:gridCol w:w="834"/>
              <w:gridCol w:w="1764"/>
            </w:tblGrid>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City-A</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City-B</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Average price</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Bread</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1.00</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1.25</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1.125</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Potatoes</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3.00</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2.00</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2.500</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Coffee</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2.50</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1.75</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2.125</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Sugar</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1.00</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1.75</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1.375</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p>
              </w:tc>
              <w:tc>
                <w:tcPr>
                  <w:tcW w:w="0" w:type="auto"/>
                  <w:vAlign w:val="center"/>
                  <w:hideMark/>
                </w:tcPr>
                <w:p w:rsidR="00762C93" w:rsidRPr="00762C93" w:rsidRDefault="00762C93" w:rsidP="006E17C6">
                  <w:pPr>
                    <w:spacing w:after="0" w:line="240" w:lineRule="auto"/>
                    <w:jc w:val="both"/>
                    <w:rPr>
                      <w:rFonts w:ascii="Times New Roman" w:eastAsia="Times New Roman" w:hAnsi="Times New Roman" w:cs="Times New Roman"/>
                      <w:sz w:val="24"/>
                      <w:szCs w:val="20"/>
                      <w:lang w:val="en-US" w:eastAsia="el-GR"/>
                    </w:rPr>
                  </w:pPr>
                </w:p>
              </w:tc>
              <w:tc>
                <w:tcPr>
                  <w:tcW w:w="0" w:type="auto"/>
                  <w:vAlign w:val="center"/>
                  <w:hideMark/>
                </w:tcPr>
                <w:p w:rsidR="00762C93" w:rsidRPr="00762C93" w:rsidRDefault="00762C93" w:rsidP="006E17C6">
                  <w:pPr>
                    <w:spacing w:after="0" w:line="240" w:lineRule="auto"/>
                    <w:jc w:val="both"/>
                    <w:rPr>
                      <w:rFonts w:ascii="Times New Roman" w:eastAsia="Times New Roman" w:hAnsi="Times New Roman" w:cs="Times New Roman"/>
                      <w:sz w:val="24"/>
                      <w:szCs w:val="20"/>
                      <w:lang w:val="en-US" w:eastAsia="el-GR"/>
                    </w:rPr>
                  </w:pPr>
                </w:p>
              </w:tc>
              <w:tc>
                <w:tcPr>
                  <w:tcW w:w="0" w:type="auto"/>
                  <w:vAlign w:val="center"/>
                  <w:hideMark/>
                </w:tcPr>
                <w:p w:rsidR="00762C93" w:rsidRPr="00762C93" w:rsidRDefault="00762C93" w:rsidP="006E17C6">
                  <w:pPr>
                    <w:spacing w:after="0" w:line="240" w:lineRule="auto"/>
                    <w:jc w:val="both"/>
                    <w:rPr>
                      <w:rFonts w:ascii="Times New Roman" w:eastAsia="Times New Roman" w:hAnsi="Times New Roman" w:cs="Times New Roman"/>
                      <w:sz w:val="24"/>
                      <w:szCs w:val="20"/>
                      <w:lang w:val="en-US" w:eastAsia="el-GR"/>
                    </w:rPr>
                  </w:pPr>
                </w:p>
              </w:tc>
            </w:tr>
          </w:tbl>
          <w:p w:rsidR="00762C93" w:rsidRPr="00762C93" w:rsidRDefault="00762C93" w:rsidP="006E17C6">
            <w:pPr>
              <w:spacing w:before="100" w:beforeAutospacing="1" w:after="100" w:afterAutospacing="1"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Next we compare prices in each town to these average prices:</w:t>
            </w:r>
          </w:p>
          <w:tbl>
            <w:tblPr>
              <w:tblW w:w="0" w:type="auto"/>
              <w:tblCellSpacing w:w="15" w:type="dxa"/>
              <w:tblBorders>
                <w:top w:val="outset" w:sz="18" w:space="0" w:color="auto"/>
                <w:left w:val="outset" w:sz="18" w:space="0" w:color="auto"/>
                <w:bottom w:val="outset" w:sz="18" w:space="0" w:color="auto"/>
                <w:right w:val="outset" w:sz="18" w:space="0" w:color="auto"/>
              </w:tblBorders>
              <w:tblCellMar>
                <w:top w:w="15" w:type="dxa"/>
                <w:left w:w="15" w:type="dxa"/>
                <w:bottom w:w="15" w:type="dxa"/>
                <w:right w:w="15" w:type="dxa"/>
              </w:tblCellMar>
              <w:tblLook w:val="04A0"/>
            </w:tblPr>
            <w:tblGrid>
              <w:gridCol w:w="1814"/>
              <w:gridCol w:w="1079"/>
              <w:gridCol w:w="834"/>
              <w:gridCol w:w="849"/>
            </w:tblGrid>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Average</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City-A</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City-B</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Bread</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100</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89</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111</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Potatoes</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100</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120</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80</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Coffee</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100</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118</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82</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Sugar</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100</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73</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127</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General Index</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100</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100</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100</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p>
              </w:tc>
              <w:tc>
                <w:tcPr>
                  <w:tcW w:w="0" w:type="auto"/>
                  <w:vAlign w:val="center"/>
                  <w:hideMark/>
                </w:tcPr>
                <w:p w:rsidR="00762C93" w:rsidRPr="00762C93" w:rsidRDefault="00762C93" w:rsidP="006E17C6">
                  <w:pPr>
                    <w:spacing w:after="0" w:line="240" w:lineRule="auto"/>
                    <w:jc w:val="both"/>
                    <w:rPr>
                      <w:rFonts w:ascii="Times New Roman" w:eastAsia="Times New Roman" w:hAnsi="Times New Roman" w:cs="Times New Roman"/>
                      <w:sz w:val="24"/>
                      <w:szCs w:val="20"/>
                      <w:lang w:val="en-US" w:eastAsia="el-GR"/>
                    </w:rPr>
                  </w:pPr>
                </w:p>
              </w:tc>
              <w:tc>
                <w:tcPr>
                  <w:tcW w:w="0" w:type="auto"/>
                  <w:vAlign w:val="center"/>
                  <w:hideMark/>
                </w:tcPr>
                <w:p w:rsidR="00762C93" w:rsidRPr="00762C93" w:rsidRDefault="00762C93" w:rsidP="006E17C6">
                  <w:pPr>
                    <w:spacing w:after="0" w:line="240" w:lineRule="auto"/>
                    <w:jc w:val="both"/>
                    <w:rPr>
                      <w:rFonts w:ascii="Times New Roman" w:eastAsia="Times New Roman" w:hAnsi="Times New Roman" w:cs="Times New Roman"/>
                      <w:sz w:val="24"/>
                      <w:szCs w:val="20"/>
                      <w:lang w:val="en-US" w:eastAsia="el-GR"/>
                    </w:rPr>
                  </w:pPr>
                </w:p>
              </w:tc>
              <w:tc>
                <w:tcPr>
                  <w:tcW w:w="0" w:type="auto"/>
                  <w:vAlign w:val="center"/>
                  <w:hideMark/>
                </w:tcPr>
                <w:p w:rsidR="00762C93" w:rsidRPr="00762C93" w:rsidRDefault="00762C93" w:rsidP="006E17C6">
                  <w:pPr>
                    <w:spacing w:after="0" w:line="240" w:lineRule="auto"/>
                    <w:jc w:val="both"/>
                    <w:rPr>
                      <w:rFonts w:ascii="Times New Roman" w:eastAsia="Times New Roman" w:hAnsi="Times New Roman" w:cs="Times New Roman"/>
                      <w:sz w:val="24"/>
                      <w:szCs w:val="20"/>
                      <w:lang w:val="en-US" w:eastAsia="el-GR"/>
                    </w:rPr>
                  </w:pPr>
                </w:p>
              </w:tc>
            </w:tr>
          </w:tbl>
          <w:p w:rsidR="00762C93" w:rsidRPr="00762C93" w:rsidRDefault="00762C93" w:rsidP="006E17C6">
            <w:pPr>
              <w:spacing w:before="100" w:beforeAutospacing="1" w:after="100" w:afterAutospacing="1"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As we can see the relationship between City-A and City-B prices remains intact: bread is still 25% more expensive in City-B, potatoes are still 50% more expensive in City-A. If we want to compare City-A as a base city to City-B, we must divide City-B's index by that of City-A and multiply by 100. The result is 100. If we reverse the operation and use City-B as base, the result is also 100. The two cities are equally expensive.</w:t>
            </w:r>
          </w:p>
          <w:p w:rsidR="00762C93" w:rsidRPr="00762C93" w:rsidRDefault="00762C93" w:rsidP="006E17C6">
            <w:pPr>
              <w:spacing w:before="100" w:beforeAutospacing="1" w:after="100" w:afterAutospacing="1"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There is another element to the discussion. In the example above, we have assumed that each item is as important as the other. But that's clearly not true of every product in the survey: the price of a car is more important in determining the index than the cost of a loaf of bread, for example. Every Cost of Living index therefore applies an identical set of weights for each product in the survey. The weights have been selected on the basis of research that indicates that while there are certainly differences among the various national spending patterns, there are also some average figures that can probably be accepted.</w:t>
            </w:r>
          </w:p>
          <w:p w:rsidR="00762C93" w:rsidRPr="00762C93" w:rsidRDefault="00762C93" w:rsidP="006E17C6">
            <w:pPr>
              <w:spacing w:before="100" w:beforeAutospacing="1" w:after="100" w:afterAutospacing="1"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The figures below indicate the sum of individual weights attributed to all the items which compose each of the index categories. They are as follows:</w:t>
            </w:r>
          </w:p>
          <w:tbl>
            <w:tblPr>
              <w:tblW w:w="0" w:type="auto"/>
              <w:tblCellSpacing w:w="15" w:type="dxa"/>
              <w:tblBorders>
                <w:top w:val="outset" w:sz="18" w:space="0" w:color="auto"/>
                <w:left w:val="outset" w:sz="18" w:space="0" w:color="auto"/>
                <w:bottom w:val="outset" w:sz="18" w:space="0" w:color="auto"/>
                <w:right w:val="outset" w:sz="18" w:space="0" w:color="auto"/>
              </w:tblBorders>
              <w:tblCellMar>
                <w:top w:w="15" w:type="dxa"/>
                <w:left w:w="15" w:type="dxa"/>
                <w:bottom w:w="15" w:type="dxa"/>
                <w:right w:w="15" w:type="dxa"/>
              </w:tblCellMar>
              <w:tblLook w:val="04A0"/>
            </w:tblPr>
            <w:tblGrid>
              <w:gridCol w:w="3445"/>
              <w:gridCol w:w="803"/>
            </w:tblGrid>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Shopping basket</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25.0</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Alcoholic beverages</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3.5</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Household supplies</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4.5</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Personal care</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4.0</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Tobacco</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2.5</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Utilities</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6.5</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Clothing</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13.0</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Domestic help</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3.5</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Recreation &amp; entertainment</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18.0</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Transportation</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19.5</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TOTAL</w:t>
                  </w:r>
                </w:p>
              </w:tc>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100.0</w:t>
                  </w:r>
                </w:p>
              </w:tc>
            </w:tr>
            <w:tr w:rsidR="00762C93" w:rsidRPr="00762C93" w:rsidTr="006E17C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762C93" w:rsidRPr="00762C93" w:rsidRDefault="00762C93" w:rsidP="006E17C6">
                  <w:pPr>
                    <w:spacing w:after="0" w:line="240" w:lineRule="auto"/>
                    <w:jc w:val="both"/>
                    <w:rPr>
                      <w:rFonts w:ascii="Verdana" w:eastAsia="Times New Roman" w:hAnsi="Verdana" w:cs="Times New Roman"/>
                      <w:sz w:val="24"/>
                      <w:szCs w:val="20"/>
                      <w:lang w:val="en-US" w:eastAsia="el-GR"/>
                    </w:rPr>
                  </w:pPr>
                </w:p>
              </w:tc>
              <w:tc>
                <w:tcPr>
                  <w:tcW w:w="0" w:type="auto"/>
                  <w:vAlign w:val="center"/>
                  <w:hideMark/>
                </w:tcPr>
                <w:p w:rsidR="00762C93" w:rsidRPr="00762C93" w:rsidRDefault="00762C93" w:rsidP="006E17C6">
                  <w:pPr>
                    <w:spacing w:after="0" w:line="240" w:lineRule="auto"/>
                    <w:jc w:val="both"/>
                    <w:rPr>
                      <w:rFonts w:ascii="Times New Roman" w:eastAsia="Times New Roman" w:hAnsi="Times New Roman" w:cs="Times New Roman"/>
                      <w:sz w:val="24"/>
                      <w:szCs w:val="20"/>
                      <w:lang w:val="en-US" w:eastAsia="el-GR"/>
                    </w:rPr>
                  </w:pPr>
                </w:p>
              </w:tc>
            </w:tr>
          </w:tbl>
          <w:p w:rsidR="00762C93" w:rsidRPr="00762C93" w:rsidRDefault="00762C93" w:rsidP="006E17C6">
            <w:pPr>
              <w:spacing w:before="100" w:beforeAutospacing="1" w:after="100" w:afterAutospacing="1" w:line="240" w:lineRule="auto"/>
              <w:jc w:val="both"/>
              <w:rPr>
                <w:rFonts w:ascii="Verdana" w:eastAsia="Times New Roman" w:hAnsi="Verdana" w:cs="Times New Roman"/>
                <w:sz w:val="24"/>
                <w:szCs w:val="20"/>
                <w:lang w:val="en-US" w:eastAsia="el-GR"/>
              </w:rPr>
            </w:pPr>
            <w:r w:rsidRPr="00762C93">
              <w:rPr>
                <w:rFonts w:ascii="Verdana" w:eastAsia="Times New Roman" w:hAnsi="Verdana" w:cs="Times New Roman"/>
                <w:sz w:val="24"/>
                <w:szCs w:val="20"/>
                <w:lang w:val="en-US" w:eastAsia="el-GR"/>
              </w:rPr>
              <w:t>Of course, the average weightings shown above should not be taken to indicate that the average person spends 25% of his total income on food. What is meant is that of the amount spent on products included in sections one to ten of the present survey, about 25% on average goes into the types of products included in section one (shopping basket).</w:t>
            </w:r>
          </w:p>
          <w:p w:rsidR="00762C93" w:rsidRPr="00762C93" w:rsidRDefault="00762C93" w:rsidP="006E17C6">
            <w:pPr>
              <w:spacing w:before="100" w:beforeAutospacing="1" w:after="100" w:afterAutospacing="1" w:line="240" w:lineRule="auto"/>
              <w:jc w:val="both"/>
              <w:rPr>
                <w:rFonts w:ascii="Verdana" w:eastAsia="Times New Roman" w:hAnsi="Verdana" w:cs="Times New Roman"/>
                <w:bCs/>
                <w:sz w:val="24"/>
                <w:szCs w:val="20"/>
                <w:lang w:val="en-US" w:eastAsia="el-GR"/>
              </w:rPr>
            </w:pPr>
            <w:r w:rsidRPr="00762C93">
              <w:rPr>
                <w:rFonts w:ascii="Verdana" w:eastAsia="Times New Roman" w:hAnsi="Verdana" w:cs="Times New Roman"/>
                <w:b/>
                <w:bCs/>
                <w:sz w:val="24"/>
                <w:szCs w:val="20"/>
                <w:u w:val="single"/>
                <w:lang w:val="en-US" w:eastAsia="el-GR"/>
              </w:rPr>
              <w:t>Tip:</w:t>
            </w:r>
            <w:r w:rsidRPr="00762C93">
              <w:rPr>
                <w:rFonts w:ascii="Verdana" w:eastAsia="Times New Roman" w:hAnsi="Verdana" w:cs="Times New Roman"/>
                <w:bCs/>
                <w:sz w:val="24"/>
                <w:szCs w:val="20"/>
                <w:lang w:val="en-US" w:eastAsia="el-GR"/>
              </w:rPr>
              <w:t xml:space="preserve"> You must use Internet for finding product/service prices, base salaries, taxes, etc., like </w:t>
            </w:r>
            <w:hyperlink r:id="rId8" w:history="1">
              <w:r w:rsidRPr="00762C93">
                <w:rPr>
                  <w:rStyle w:val="-"/>
                  <w:rFonts w:ascii="Verdana" w:eastAsia="Times New Roman" w:hAnsi="Verdana" w:cs="Times New Roman"/>
                  <w:bCs/>
                  <w:sz w:val="24"/>
                  <w:szCs w:val="20"/>
                  <w:lang w:val="en-US" w:eastAsia="el-GR"/>
                </w:rPr>
                <w:t>https://www.numbeo.com/cost-of-living/comparison.jsp</w:t>
              </w:r>
            </w:hyperlink>
            <w:r w:rsidRPr="00762C93">
              <w:rPr>
                <w:rFonts w:ascii="Verdana" w:eastAsia="Times New Roman" w:hAnsi="Verdana" w:cs="Times New Roman"/>
                <w:bCs/>
                <w:sz w:val="24"/>
                <w:szCs w:val="20"/>
                <w:lang w:val="en-US" w:eastAsia="el-GR"/>
              </w:rPr>
              <w:t>, etc. Also, you may use Excel to help you in comparisons</w:t>
            </w:r>
            <w:bookmarkStart w:id="3" w:name="whatisthehighindex"/>
            <w:bookmarkEnd w:id="3"/>
            <w:r>
              <w:rPr>
                <w:rFonts w:ascii="Verdana" w:eastAsia="Times New Roman" w:hAnsi="Verdana" w:cs="Times New Roman"/>
                <w:bCs/>
                <w:sz w:val="24"/>
                <w:szCs w:val="20"/>
                <w:lang w:val="en-US" w:eastAsia="el-GR"/>
              </w:rPr>
              <w:t>.</w:t>
            </w:r>
          </w:p>
        </w:tc>
      </w:tr>
    </w:tbl>
    <w:p w:rsidR="00762C93" w:rsidRPr="00762C93" w:rsidRDefault="00762C93">
      <w:pPr>
        <w:rPr>
          <w:sz w:val="28"/>
          <w:lang w:val="en-US"/>
        </w:rPr>
      </w:pPr>
    </w:p>
    <w:sectPr w:rsidR="00762C93" w:rsidRPr="00762C93" w:rsidSect="00762C93">
      <w:footerReference w:type="default" r:id="rId9"/>
      <w:pgSz w:w="11906" w:h="16838"/>
      <w:pgMar w:top="1135"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C88" w:rsidRDefault="00D14C88" w:rsidP="00762C93">
      <w:pPr>
        <w:spacing w:after="0" w:line="240" w:lineRule="auto"/>
      </w:pPr>
      <w:r>
        <w:separator/>
      </w:r>
    </w:p>
  </w:endnote>
  <w:endnote w:type="continuationSeparator" w:id="0">
    <w:p w:rsidR="00D14C88" w:rsidRDefault="00D14C88" w:rsidP="00762C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091579"/>
      <w:docPartObj>
        <w:docPartGallery w:val="Page Numbers (Bottom of Page)"/>
        <w:docPartUnique/>
      </w:docPartObj>
    </w:sdtPr>
    <w:sdtContent>
      <w:p w:rsidR="00762C93" w:rsidRDefault="00762C93">
        <w:pPr>
          <w:pStyle w:val="a5"/>
          <w:jc w:val="center"/>
        </w:pPr>
        <w:fldSimple w:instr=" PAGE   \* MERGEFORMAT ">
          <w:r w:rsidR="00D14C88">
            <w:rPr>
              <w:noProof/>
            </w:rPr>
            <w:t>1</w:t>
          </w:r>
        </w:fldSimple>
      </w:p>
    </w:sdtContent>
  </w:sdt>
  <w:p w:rsidR="00762C93" w:rsidRDefault="00762C9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C88" w:rsidRDefault="00D14C88" w:rsidP="00762C93">
      <w:pPr>
        <w:spacing w:after="0" w:line="240" w:lineRule="auto"/>
      </w:pPr>
      <w:r>
        <w:separator/>
      </w:r>
    </w:p>
  </w:footnote>
  <w:footnote w:type="continuationSeparator" w:id="0">
    <w:p w:rsidR="00D14C88" w:rsidRDefault="00D14C88" w:rsidP="00762C9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20"/>
  <w:characterSpacingControl w:val="doNotCompress"/>
  <w:savePreviewPicture/>
  <w:footnotePr>
    <w:footnote w:id="-1"/>
    <w:footnote w:id="0"/>
  </w:footnotePr>
  <w:endnotePr>
    <w:endnote w:id="-1"/>
    <w:endnote w:id="0"/>
  </w:endnotePr>
  <w:compat/>
  <w:rsids>
    <w:rsidRoot w:val="00762C93"/>
    <w:rsid w:val="004D60D3"/>
    <w:rsid w:val="00762C93"/>
    <w:rsid w:val="00D14C8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0D3"/>
  </w:style>
  <w:style w:type="paragraph" w:styleId="3">
    <w:name w:val="heading 3"/>
    <w:basedOn w:val="a"/>
    <w:link w:val="3Char"/>
    <w:uiPriority w:val="9"/>
    <w:qFormat/>
    <w:rsid w:val="00762C93"/>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762C93"/>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762C9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762C93"/>
  </w:style>
  <w:style w:type="character" w:customStyle="1" w:styleId="nolink">
    <w:name w:val="nolink"/>
    <w:basedOn w:val="a0"/>
    <w:rsid w:val="00762C93"/>
  </w:style>
  <w:style w:type="character" w:styleId="a3">
    <w:name w:val="Strong"/>
    <w:basedOn w:val="a0"/>
    <w:uiPriority w:val="22"/>
    <w:qFormat/>
    <w:rsid w:val="00762C93"/>
    <w:rPr>
      <w:b/>
      <w:bCs/>
    </w:rPr>
  </w:style>
  <w:style w:type="character" w:styleId="-">
    <w:name w:val="Hyperlink"/>
    <w:basedOn w:val="a0"/>
    <w:uiPriority w:val="99"/>
    <w:unhideWhenUsed/>
    <w:rsid w:val="00762C93"/>
    <w:rPr>
      <w:color w:val="0000FF"/>
      <w:u w:val="single"/>
    </w:rPr>
  </w:style>
  <w:style w:type="paragraph" w:styleId="a4">
    <w:name w:val="header"/>
    <w:basedOn w:val="a"/>
    <w:link w:val="Char"/>
    <w:uiPriority w:val="99"/>
    <w:semiHidden/>
    <w:unhideWhenUsed/>
    <w:rsid w:val="00762C93"/>
    <w:pPr>
      <w:tabs>
        <w:tab w:val="center" w:pos="4513"/>
        <w:tab w:val="right" w:pos="9026"/>
      </w:tabs>
      <w:spacing w:after="0" w:line="240" w:lineRule="auto"/>
    </w:pPr>
  </w:style>
  <w:style w:type="character" w:customStyle="1" w:styleId="Char">
    <w:name w:val="Κεφαλίδα Char"/>
    <w:basedOn w:val="a0"/>
    <w:link w:val="a4"/>
    <w:uiPriority w:val="99"/>
    <w:semiHidden/>
    <w:rsid w:val="00762C93"/>
  </w:style>
  <w:style w:type="paragraph" w:styleId="a5">
    <w:name w:val="footer"/>
    <w:basedOn w:val="a"/>
    <w:link w:val="Char0"/>
    <w:uiPriority w:val="99"/>
    <w:unhideWhenUsed/>
    <w:rsid w:val="00762C93"/>
    <w:pPr>
      <w:tabs>
        <w:tab w:val="center" w:pos="4513"/>
        <w:tab w:val="right" w:pos="9026"/>
      </w:tabs>
      <w:spacing w:after="0" w:line="240" w:lineRule="auto"/>
    </w:pPr>
  </w:style>
  <w:style w:type="character" w:customStyle="1" w:styleId="Char0">
    <w:name w:val="Υποσέλιδο Char"/>
    <w:basedOn w:val="a0"/>
    <w:link w:val="a5"/>
    <w:uiPriority w:val="99"/>
    <w:rsid w:val="00762C93"/>
  </w:style>
</w:styles>
</file>

<file path=word/webSettings.xml><?xml version="1.0" encoding="utf-8"?>
<w:webSettings xmlns:r="http://schemas.openxmlformats.org/officeDocument/2006/relationships" xmlns:w="http://schemas.openxmlformats.org/wordprocessingml/2006/main">
  <w:divs>
    <w:div w:id="37364889">
      <w:bodyDiv w:val="1"/>
      <w:marLeft w:val="0"/>
      <w:marRight w:val="0"/>
      <w:marTop w:val="0"/>
      <w:marBottom w:val="0"/>
      <w:divBdr>
        <w:top w:val="none" w:sz="0" w:space="0" w:color="auto"/>
        <w:left w:val="none" w:sz="0" w:space="0" w:color="auto"/>
        <w:bottom w:val="none" w:sz="0" w:space="0" w:color="auto"/>
        <w:right w:val="none" w:sz="0" w:space="0" w:color="auto"/>
      </w:divBdr>
      <w:divsChild>
        <w:div w:id="660695851">
          <w:marLeft w:val="0"/>
          <w:marRight w:val="0"/>
          <w:marTop w:val="0"/>
          <w:marBottom w:val="0"/>
          <w:divBdr>
            <w:top w:val="none" w:sz="0" w:space="0" w:color="auto"/>
            <w:left w:val="none" w:sz="0" w:space="0" w:color="auto"/>
            <w:bottom w:val="none" w:sz="0" w:space="0" w:color="auto"/>
            <w:right w:val="none" w:sz="0" w:space="0" w:color="auto"/>
          </w:divBdr>
        </w:div>
      </w:divsChild>
    </w:div>
    <w:div w:id="21759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umbeo.com/cost-of-living/comparison.jsp" TargetMode="External"/><Relationship Id="rId3" Type="http://schemas.openxmlformats.org/officeDocument/2006/relationships/settings" Target="settings.xml"/><Relationship Id="rId7" Type="http://schemas.openxmlformats.org/officeDocument/2006/relationships/hyperlink" Target="https://www.worldwidecostofliving.com/asp/wcol_HelpIndexCalc.as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F9FEB4-7A43-400C-982C-2B773534B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1083</Words>
  <Characters>5854</Characters>
  <Application>Microsoft Office Word</Application>
  <DocSecurity>0</DocSecurity>
  <Lines>48</Lines>
  <Paragraphs>13</Paragraphs>
  <ScaleCrop>false</ScaleCrop>
  <Company/>
  <LinksUpToDate>false</LinksUpToDate>
  <CharactersWithSpaces>6924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2017-04-27T18:00:00Z</dcterms:created>
  <dcterms:modified xsi:type="dcterms:W3CDTF">2017-04-27T18:04:00Z</dcterms:modified>
</cp:coreProperties>
</file>